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编制说明</w:t>
      </w:r>
    </w:p>
    <w:p>
      <w:pPr>
        <w:spacing w:line="58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一、工程概况：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279" w:leftChars="133" w:right="0" w:firstLine="560" w:firstLineChars="200"/>
        <w:rPr>
          <w:rFonts w:hint="default" w:ascii="仿宋" w:hAnsi="仿宋" w:eastAsia="仿宋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_GB2312"/>
          <w:kern w:val="2"/>
          <w:sz w:val="28"/>
          <w:szCs w:val="28"/>
          <w:lang w:val="en-US" w:eastAsia="zh-CN" w:bidi="ar-SA"/>
        </w:rPr>
        <w:t>本工程为南通第二中学3号教学楼改造及水箱钢结构油漆见新工程。项目包含卫生间改造墙体、天棚等，3号楼屋顶水箱钢结构油漆见新。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二、工程招标和专业工程发包范围：</w:t>
      </w:r>
    </w:p>
    <w:p>
      <w:pPr>
        <w:pStyle w:val="8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     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清单所示的范围及现场查看范围</w:t>
      </w:r>
      <w:r>
        <w:rPr>
          <w:rFonts w:hint="eastAsia" w:ascii="仿宋" w:hAnsi="仿宋" w:eastAsia="仿宋" w:cs="仿宋_GB2312"/>
          <w:sz w:val="28"/>
          <w:szCs w:val="28"/>
        </w:rPr>
        <w:t>所有内容。</w:t>
      </w:r>
    </w:p>
    <w:p>
      <w:pPr>
        <w:spacing w:line="580" w:lineRule="exac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三、编制依据：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电子版施工图纸。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《建设工程工程量清单计价规范》（GB50500-2013）。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《房屋建筑与装饰工程工程量计算规范》（GB50854-2013）。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《通用安装工程工程量计算规范》（GB50856-2013）。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《江苏省安装工程计价定额》(2014版)。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《江苏省建筑与装饰工程计价定额》(2014版)，以及相应补充规定和南通市有关规定。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《江苏房屋修缮工程计价表》(20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09</w:t>
      </w:r>
      <w:r>
        <w:rPr>
          <w:rFonts w:hint="eastAsia" w:ascii="仿宋" w:hAnsi="仿宋" w:eastAsia="仿宋"/>
          <w:sz w:val="28"/>
          <w:szCs w:val="28"/>
        </w:rPr>
        <w:t>版)。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《江苏省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市政</w:t>
      </w:r>
      <w:r>
        <w:rPr>
          <w:rFonts w:hint="eastAsia" w:ascii="仿宋" w:hAnsi="仿宋" w:eastAsia="仿宋"/>
          <w:sz w:val="28"/>
          <w:szCs w:val="28"/>
        </w:rPr>
        <w:t>工程计价定额》(2014版)。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《江苏省建设工程费用定额》2014年版。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人工参照苏建价函〔20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_GB2312"/>
          <w:sz w:val="28"/>
          <w:szCs w:val="28"/>
        </w:rPr>
        <w:t>〕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63</w:t>
      </w:r>
      <w:r>
        <w:rPr>
          <w:rFonts w:hint="eastAsia" w:ascii="仿宋" w:hAnsi="仿宋" w:eastAsia="仿宋" w:cs="仿宋_GB2312"/>
          <w:sz w:val="28"/>
          <w:szCs w:val="28"/>
        </w:rPr>
        <w:t>号文执行。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税金按照</w:t>
      </w:r>
      <w:r>
        <w:rPr>
          <w:rFonts w:hint="eastAsia" w:ascii="仿宋" w:hAnsi="仿宋" w:eastAsia="仿宋" w:cs="仿宋_GB2312"/>
          <w:sz w:val="28"/>
          <w:szCs w:val="28"/>
        </w:rPr>
        <w:t>苏建价（201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_GB2312"/>
          <w:sz w:val="28"/>
          <w:szCs w:val="28"/>
        </w:rPr>
        <w:t>）1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78</w:t>
      </w:r>
      <w:r>
        <w:rPr>
          <w:rFonts w:hint="eastAsia" w:ascii="仿宋" w:hAnsi="仿宋" w:eastAsia="仿宋" w:cs="仿宋_GB2312"/>
          <w:sz w:val="28"/>
          <w:szCs w:val="28"/>
        </w:rPr>
        <w:t>号文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执行</w:t>
      </w:r>
      <w:r>
        <w:rPr>
          <w:rFonts w:hint="eastAsia" w:ascii="仿宋" w:hAnsi="仿宋" w:eastAsia="仿宋" w:cs="仿宋_GB2312"/>
          <w:sz w:val="28"/>
          <w:szCs w:val="28"/>
        </w:rPr>
        <w:t>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/>
          <w:sz w:val="28"/>
          <w:szCs w:val="28"/>
        </w:rPr>
        <w:t>年第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期《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南通市</w:t>
      </w:r>
      <w:r>
        <w:rPr>
          <w:rFonts w:hint="eastAsia" w:ascii="仿宋" w:hAnsi="仿宋" w:eastAsia="仿宋"/>
          <w:sz w:val="28"/>
          <w:szCs w:val="28"/>
        </w:rPr>
        <w:t>建设工程造价信息》及市场询价。</w:t>
      </w:r>
    </w:p>
    <w:p>
      <w:pPr>
        <w:numPr>
          <w:ilvl w:val="0"/>
          <w:numId w:val="1"/>
        </w:numPr>
        <w:spacing w:line="580" w:lineRule="exact"/>
        <w:ind w:left="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本工程执行苏建价〔2016〕154号文，采用一般计税法计价；增值税调整办法参照苏建函价苏建函价〔2019〕178号。</w:t>
      </w:r>
    </w:p>
    <w:p>
      <w:pPr>
        <w:numPr>
          <w:ilvl w:val="0"/>
          <w:numId w:val="2"/>
        </w:numPr>
        <w:spacing w:line="580" w:lineRule="exac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其他说明：</w:t>
      </w:r>
    </w:p>
    <w:p>
      <w:pPr>
        <w:numPr>
          <w:ilvl w:val="0"/>
          <w:numId w:val="3"/>
        </w:numPr>
        <w:spacing w:line="580" w:lineRule="exact"/>
        <w:ind w:left="2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措施费计取安全文明施工措施费、扬尘费</w:t>
      </w:r>
      <w:r>
        <w:rPr>
          <w:rFonts w:hint="eastAsia" w:ascii="仿宋" w:hAnsi="仿宋" w:eastAsia="仿宋" w:cs="仿宋_GB2312"/>
          <w:sz w:val="28"/>
          <w:szCs w:val="28"/>
        </w:rPr>
        <w:t>。</w:t>
      </w:r>
    </w:p>
    <w:p>
      <w:pPr>
        <w:numPr>
          <w:ilvl w:val="0"/>
          <w:numId w:val="3"/>
        </w:numPr>
        <w:spacing w:line="580" w:lineRule="exact"/>
        <w:ind w:left="20" w:leftChars="0" w:firstLine="400" w:firstLineChars="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规费税金根据文件江苏省文件规定执行。</w:t>
      </w:r>
    </w:p>
    <w:p>
      <w:pPr>
        <w:numPr>
          <w:ilvl w:val="0"/>
          <w:numId w:val="3"/>
        </w:numPr>
        <w:spacing w:line="580" w:lineRule="exact"/>
        <w:ind w:left="20" w:leftChars="0" w:firstLine="400" w:firstLineChars="0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瓷砖品牌：加西亚，斯米克，冠珠。</w:t>
      </w:r>
    </w:p>
    <w:p>
      <w:pPr>
        <w:numPr>
          <w:ilvl w:val="0"/>
          <w:numId w:val="3"/>
        </w:numPr>
        <w:spacing w:line="580" w:lineRule="exact"/>
        <w:ind w:left="20" w:leftChars="0" w:firstLine="400" w:firstLineChars="0"/>
        <w:rPr>
          <w:rFonts w:hint="eastAsia" w:ascii="仿宋" w:hAnsi="仿宋" w:eastAsia="仿宋" w:cs="仿宋_GB2312"/>
          <w:sz w:val="28"/>
          <w:szCs w:val="28"/>
          <w:lang w:val="zh-TW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zh-TW" w:eastAsia="zh-CN"/>
        </w:rPr>
        <w:t>本工程所产生的垃圾（含拆除物等垃圾）由施工方负责清理运出施工现场，并负责整个工程的最后清理，招标方对投标方的任何误解概不负责。</w:t>
      </w:r>
    </w:p>
    <w:p>
      <w:pPr>
        <w:numPr>
          <w:ilvl w:val="0"/>
          <w:numId w:val="0"/>
        </w:numPr>
        <w:spacing w:line="580" w:lineRule="exact"/>
        <w:ind w:left="420" w:leftChars="0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ind w:left="420" w:leftChars="0"/>
        <w:rPr>
          <w:rFonts w:hint="eastAsia" w:ascii="仿宋" w:hAnsi="仿宋" w:eastAsia="仿宋" w:cs="仿宋_GB2312"/>
          <w:sz w:val="28"/>
          <w:szCs w:val="28"/>
          <w:lang w:val="zh-TW" w:eastAsia="zh-CN"/>
        </w:rPr>
      </w:pPr>
    </w:p>
    <w:p>
      <w:pPr>
        <w:numPr>
          <w:ilvl w:val="0"/>
          <w:numId w:val="0"/>
        </w:numPr>
        <w:spacing w:line="58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58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ind w:left="420" w:leftChars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580" w:lineRule="exact"/>
        <w:rPr>
          <w:rFonts w:hint="default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                                    2023年6月5</w:t>
      </w:r>
      <w:bookmarkStart w:id="0" w:name="_GoBack"/>
      <w:bookmarkEnd w:id="0"/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日</w:t>
      </w:r>
    </w:p>
    <w:p>
      <w:pPr>
        <w:numPr>
          <w:ilvl w:val="0"/>
          <w:numId w:val="0"/>
        </w:numPr>
        <w:spacing w:line="580" w:lineRule="exact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 xml:space="preserve">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  <w:lang w:val="en-US" w:eastAsia="zh-CN"/>
        </w:rPr>
        <w:t xml:space="preserve">                               </w:t>
      </w:r>
    </w:p>
    <w:sectPr>
      <w:pgSz w:w="11906" w:h="16838"/>
      <w:pgMar w:top="1327" w:right="1259" w:bottom="1270" w:left="12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EF5AA2"/>
    <w:multiLevelType w:val="singleLevel"/>
    <w:tmpl w:val="9AEF5AA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687B50A"/>
    <w:multiLevelType w:val="singleLevel"/>
    <w:tmpl w:val="B687B50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5F73A707"/>
    <w:multiLevelType w:val="singleLevel"/>
    <w:tmpl w:val="5F73A707"/>
    <w:lvl w:ilvl="0" w:tentative="0">
      <w:start w:val="1"/>
      <w:numFmt w:val="decimal"/>
      <w:suff w:val="nothing"/>
      <w:lvlText w:val="%1．"/>
      <w:lvlJc w:val="left"/>
      <w:pPr>
        <w:ind w:left="20" w:firstLine="4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